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1889" w14:textId="77777777" w:rsidR="000176FA" w:rsidRPr="00FD69FF" w:rsidRDefault="000176FA" w:rsidP="00661665">
      <w:pPr>
        <w:jc w:val="center"/>
        <w:rPr>
          <w:u w:val="single"/>
        </w:rPr>
      </w:pPr>
      <w:r w:rsidRPr="00FD69FF">
        <w:rPr>
          <w:noProof/>
          <w:lang w:val="en-GB"/>
        </w:rPr>
        <w:drawing>
          <wp:inline distT="0" distB="0" distL="0" distR="0" wp14:anchorId="742EB5EB" wp14:editId="3F05DF19">
            <wp:extent cx="28384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2295525"/>
                    </a:xfrm>
                    <a:prstGeom prst="rect">
                      <a:avLst/>
                    </a:prstGeom>
                    <a:noFill/>
                    <a:ln>
                      <a:noFill/>
                    </a:ln>
                  </pic:spPr>
                </pic:pic>
              </a:graphicData>
            </a:graphic>
          </wp:inline>
        </w:drawing>
      </w:r>
    </w:p>
    <w:p w14:paraId="3486302A" w14:textId="77777777" w:rsidR="000176FA" w:rsidRPr="00FD69FF" w:rsidRDefault="000176FA" w:rsidP="00661665">
      <w:pPr>
        <w:jc w:val="center"/>
      </w:pPr>
    </w:p>
    <w:p w14:paraId="1AF2806B" w14:textId="77777777" w:rsidR="000176FA" w:rsidRPr="00FD69FF" w:rsidRDefault="000176FA" w:rsidP="00661665">
      <w:pPr>
        <w:pStyle w:val="Heading1"/>
        <w:jc w:val="center"/>
      </w:pPr>
    </w:p>
    <w:p w14:paraId="64355572" w14:textId="77777777" w:rsidR="000176FA" w:rsidRPr="00661665" w:rsidRDefault="000176FA" w:rsidP="00661665">
      <w:pPr>
        <w:jc w:val="center"/>
        <w:rPr>
          <w:b/>
          <w:sz w:val="28"/>
          <w:szCs w:val="28"/>
          <w:u w:val="single"/>
        </w:rPr>
      </w:pPr>
      <w:r w:rsidRPr="00661665">
        <w:rPr>
          <w:b/>
          <w:sz w:val="28"/>
          <w:szCs w:val="28"/>
        </w:rPr>
        <w:t xml:space="preserve">POLISI ABSENOLDEB </w:t>
      </w:r>
      <w:r w:rsidR="00392EA2">
        <w:rPr>
          <w:b/>
          <w:sz w:val="28"/>
          <w:szCs w:val="28"/>
        </w:rPr>
        <w:t>TADOLAETH</w:t>
      </w:r>
    </w:p>
    <w:p w14:paraId="6D1BE8AD" w14:textId="77777777" w:rsidR="000176FA" w:rsidRDefault="000176FA" w:rsidP="00661665">
      <w:pPr>
        <w:pStyle w:val="BodyText"/>
      </w:pPr>
    </w:p>
    <w:p w14:paraId="62BA3520" w14:textId="77777777" w:rsidR="000176FA" w:rsidRDefault="000176FA" w:rsidP="00661665">
      <w:pPr>
        <w:pStyle w:val="BodyText"/>
      </w:pPr>
    </w:p>
    <w:p w14:paraId="1C94E545" w14:textId="77777777" w:rsidR="000176FA" w:rsidRDefault="000176FA" w:rsidP="00661665">
      <w:pPr>
        <w:pStyle w:val="BodyText"/>
      </w:pPr>
    </w:p>
    <w:p w14:paraId="172C36F9" w14:textId="77777777" w:rsidR="000176FA" w:rsidRPr="00FD69FF" w:rsidRDefault="000176FA" w:rsidP="00661665">
      <w:pPr>
        <w:pStyle w:val="BodyText"/>
      </w:pPr>
    </w:p>
    <w:tbl>
      <w:tblPr>
        <w:tblW w:w="7317"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233"/>
        <w:gridCol w:w="2320"/>
        <w:gridCol w:w="2734"/>
      </w:tblGrid>
      <w:tr w:rsidR="00914848" w:rsidRPr="00FD69FF" w14:paraId="50253765" w14:textId="77777777" w:rsidTr="00914848">
        <w:tc>
          <w:tcPr>
            <w:tcW w:w="1030" w:type="dxa"/>
          </w:tcPr>
          <w:p w14:paraId="1645BD0F" w14:textId="77777777" w:rsidR="00914848" w:rsidRPr="002F1CC4" w:rsidRDefault="00914848" w:rsidP="00661665">
            <w:pPr>
              <w:pStyle w:val="BodyText"/>
              <w:rPr>
                <w:b/>
              </w:rPr>
            </w:pPr>
            <w:r w:rsidRPr="002F1CC4">
              <w:rPr>
                <w:b/>
              </w:rPr>
              <w:t>Arolwg</w:t>
            </w:r>
          </w:p>
        </w:tc>
        <w:tc>
          <w:tcPr>
            <w:tcW w:w="1233" w:type="dxa"/>
          </w:tcPr>
          <w:p w14:paraId="0C72B0AF" w14:textId="77777777" w:rsidR="00914848" w:rsidRPr="002F1CC4" w:rsidRDefault="00914848" w:rsidP="00661665">
            <w:pPr>
              <w:pStyle w:val="BodyText"/>
              <w:rPr>
                <w:b/>
              </w:rPr>
            </w:pPr>
            <w:r w:rsidRPr="002F1CC4">
              <w:rPr>
                <w:b/>
              </w:rPr>
              <w:t>Dyddiad</w:t>
            </w:r>
          </w:p>
        </w:tc>
        <w:tc>
          <w:tcPr>
            <w:tcW w:w="5054" w:type="dxa"/>
            <w:gridSpan w:val="2"/>
          </w:tcPr>
          <w:p w14:paraId="26F0E0F3" w14:textId="77777777" w:rsidR="00914848" w:rsidRPr="002F1CC4" w:rsidRDefault="00914848" w:rsidP="00661665">
            <w:pPr>
              <w:pStyle w:val="BodyText"/>
              <w:rPr>
                <w:b/>
              </w:rPr>
            </w:pPr>
            <w:r w:rsidRPr="002F1CC4">
              <w:rPr>
                <w:b/>
              </w:rPr>
              <w:t>Pwrpas y Cyhoeddiad / Disgrifiad o’r Newid</w:t>
            </w:r>
          </w:p>
        </w:tc>
      </w:tr>
      <w:tr w:rsidR="00914848" w:rsidRPr="00FD69FF" w14:paraId="47ADE522" w14:textId="77777777" w:rsidTr="00914848">
        <w:tc>
          <w:tcPr>
            <w:tcW w:w="1030" w:type="dxa"/>
          </w:tcPr>
          <w:p w14:paraId="7DD15B4E" w14:textId="793BA337" w:rsidR="00914848" w:rsidRDefault="00914848" w:rsidP="00661665">
            <w:pPr>
              <w:pStyle w:val="BodyText"/>
            </w:pPr>
            <w:r>
              <w:t>1</w:t>
            </w:r>
          </w:p>
        </w:tc>
        <w:tc>
          <w:tcPr>
            <w:tcW w:w="1233" w:type="dxa"/>
          </w:tcPr>
          <w:p w14:paraId="63A8B0C7" w14:textId="77777777" w:rsidR="00914848" w:rsidRDefault="00914848" w:rsidP="00661665">
            <w:pPr>
              <w:pStyle w:val="BodyText"/>
            </w:pPr>
            <w:r>
              <w:t>2014</w:t>
            </w:r>
          </w:p>
        </w:tc>
        <w:tc>
          <w:tcPr>
            <w:tcW w:w="5054" w:type="dxa"/>
            <w:gridSpan w:val="2"/>
          </w:tcPr>
          <w:p w14:paraId="59929C6E" w14:textId="77777777" w:rsidR="00914848" w:rsidRPr="00FD69FF" w:rsidRDefault="00914848" w:rsidP="00661665">
            <w:pPr>
              <w:pStyle w:val="BodyText"/>
            </w:pPr>
            <w:r w:rsidRPr="000176FA">
              <w:t>Newidiadau cosmetig</w:t>
            </w:r>
          </w:p>
        </w:tc>
      </w:tr>
      <w:tr w:rsidR="00914848" w:rsidRPr="00FD69FF" w14:paraId="0EAA97C8" w14:textId="77777777" w:rsidTr="00914848">
        <w:tc>
          <w:tcPr>
            <w:tcW w:w="1030" w:type="dxa"/>
          </w:tcPr>
          <w:p w14:paraId="753C1913" w14:textId="2A5A8B04" w:rsidR="00914848" w:rsidRDefault="00914848" w:rsidP="00661665">
            <w:pPr>
              <w:pStyle w:val="BodyText"/>
            </w:pPr>
            <w:r>
              <w:t>2</w:t>
            </w:r>
          </w:p>
        </w:tc>
        <w:tc>
          <w:tcPr>
            <w:tcW w:w="1233" w:type="dxa"/>
          </w:tcPr>
          <w:p w14:paraId="1D9AD1EF" w14:textId="77777777" w:rsidR="00914848" w:rsidRDefault="00914848" w:rsidP="00661665">
            <w:pPr>
              <w:pStyle w:val="BodyText"/>
            </w:pPr>
            <w:r>
              <w:t>2015</w:t>
            </w:r>
          </w:p>
        </w:tc>
        <w:tc>
          <w:tcPr>
            <w:tcW w:w="5054" w:type="dxa"/>
            <w:gridSpan w:val="2"/>
          </w:tcPr>
          <w:p w14:paraId="5774842E" w14:textId="77777777" w:rsidR="00914848" w:rsidRPr="00FD69FF" w:rsidRDefault="00914848" w:rsidP="00661665">
            <w:pPr>
              <w:pStyle w:val="BodyText"/>
            </w:pPr>
            <w:r w:rsidRPr="000176FA">
              <w:t>Diweddariad am eglurder</w:t>
            </w:r>
          </w:p>
        </w:tc>
      </w:tr>
      <w:tr w:rsidR="00914848" w:rsidRPr="00FD69FF" w14:paraId="54683416" w14:textId="77777777" w:rsidTr="00914848">
        <w:tc>
          <w:tcPr>
            <w:tcW w:w="1030" w:type="dxa"/>
          </w:tcPr>
          <w:p w14:paraId="418D8D34" w14:textId="75EA8AB6" w:rsidR="00914848" w:rsidRDefault="00914848" w:rsidP="00661665">
            <w:pPr>
              <w:pStyle w:val="BodyText"/>
            </w:pPr>
            <w:r>
              <w:t>3</w:t>
            </w:r>
          </w:p>
        </w:tc>
        <w:tc>
          <w:tcPr>
            <w:tcW w:w="1233" w:type="dxa"/>
          </w:tcPr>
          <w:p w14:paraId="6E6ECA8C" w14:textId="77777777" w:rsidR="00914848" w:rsidRDefault="00914848" w:rsidP="00661665">
            <w:pPr>
              <w:pStyle w:val="BodyText"/>
            </w:pPr>
            <w:r>
              <w:t>2016</w:t>
            </w:r>
          </w:p>
        </w:tc>
        <w:tc>
          <w:tcPr>
            <w:tcW w:w="5054" w:type="dxa"/>
            <w:gridSpan w:val="2"/>
          </w:tcPr>
          <w:p w14:paraId="2B5D41B7" w14:textId="77777777" w:rsidR="00914848" w:rsidRPr="00FD69FF" w:rsidRDefault="00914848" w:rsidP="00661665">
            <w:pPr>
              <w:pStyle w:val="BodyText"/>
            </w:pPr>
            <w:r w:rsidRPr="000176FA">
              <w:t>Newidiadau cosmetig</w:t>
            </w:r>
          </w:p>
        </w:tc>
      </w:tr>
      <w:tr w:rsidR="00914848" w:rsidRPr="00FD69FF" w14:paraId="4120B318" w14:textId="77777777" w:rsidTr="00914848">
        <w:tc>
          <w:tcPr>
            <w:tcW w:w="1030" w:type="dxa"/>
          </w:tcPr>
          <w:p w14:paraId="3CA306AF" w14:textId="64950AAA" w:rsidR="00914848" w:rsidRDefault="00914848" w:rsidP="00661665">
            <w:pPr>
              <w:pStyle w:val="BodyText"/>
            </w:pPr>
            <w:r>
              <w:t>4</w:t>
            </w:r>
          </w:p>
        </w:tc>
        <w:tc>
          <w:tcPr>
            <w:tcW w:w="1233" w:type="dxa"/>
          </w:tcPr>
          <w:p w14:paraId="5544477B" w14:textId="77777777" w:rsidR="00914848" w:rsidRDefault="00914848" w:rsidP="00661665">
            <w:pPr>
              <w:pStyle w:val="BodyText"/>
            </w:pPr>
            <w:r>
              <w:t>2018</w:t>
            </w:r>
          </w:p>
        </w:tc>
        <w:tc>
          <w:tcPr>
            <w:tcW w:w="5054" w:type="dxa"/>
            <w:gridSpan w:val="2"/>
          </w:tcPr>
          <w:p w14:paraId="377726B5" w14:textId="77777777" w:rsidR="00914848" w:rsidRPr="00FD69FF" w:rsidRDefault="00914848" w:rsidP="00661665">
            <w:pPr>
              <w:pStyle w:val="BodyText"/>
            </w:pPr>
            <w:r w:rsidRPr="00661665">
              <w:t>Newidiadau i ddeddfwriaeth</w:t>
            </w:r>
          </w:p>
        </w:tc>
      </w:tr>
      <w:tr w:rsidR="00914848" w:rsidRPr="00FD69FF" w14:paraId="733364A0" w14:textId="77777777" w:rsidTr="00914848">
        <w:tc>
          <w:tcPr>
            <w:tcW w:w="1030" w:type="dxa"/>
          </w:tcPr>
          <w:p w14:paraId="5B6CCC2C" w14:textId="2C5FC45A" w:rsidR="00914848" w:rsidRDefault="00914848" w:rsidP="00661665">
            <w:pPr>
              <w:pStyle w:val="BodyText"/>
            </w:pPr>
            <w:r>
              <w:t>5</w:t>
            </w:r>
          </w:p>
        </w:tc>
        <w:tc>
          <w:tcPr>
            <w:tcW w:w="1233" w:type="dxa"/>
          </w:tcPr>
          <w:p w14:paraId="77E19251" w14:textId="2D2E33FD" w:rsidR="00914848" w:rsidRDefault="00914848" w:rsidP="00661665">
            <w:pPr>
              <w:pStyle w:val="BodyText"/>
            </w:pPr>
            <w:r>
              <w:t>2021</w:t>
            </w:r>
          </w:p>
        </w:tc>
        <w:tc>
          <w:tcPr>
            <w:tcW w:w="5054" w:type="dxa"/>
            <w:gridSpan w:val="2"/>
          </w:tcPr>
          <w:p w14:paraId="23B72191" w14:textId="7F845DE6" w:rsidR="00914848" w:rsidRPr="00661665" w:rsidRDefault="00914848" w:rsidP="00661665">
            <w:pPr>
              <w:pStyle w:val="BodyText"/>
            </w:pPr>
            <w:r w:rsidRPr="000C6707">
              <w:t>Adolygiad - dim newidiadau</w:t>
            </w:r>
          </w:p>
        </w:tc>
      </w:tr>
      <w:tr w:rsidR="00914848" w:rsidRPr="00FD69FF" w14:paraId="021AD755" w14:textId="77777777" w:rsidTr="00914848">
        <w:tc>
          <w:tcPr>
            <w:tcW w:w="1030" w:type="dxa"/>
          </w:tcPr>
          <w:p w14:paraId="7C29C8C0" w14:textId="5AC38536" w:rsidR="00914848" w:rsidRDefault="00914848" w:rsidP="00661665">
            <w:pPr>
              <w:pStyle w:val="BodyText"/>
            </w:pPr>
            <w:r>
              <w:t>6</w:t>
            </w:r>
          </w:p>
        </w:tc>
        <w:tc>
          <w:tcPr>
            <w:tcW w:w="1233" w:type="dxa"/>
          </w:tcPr>
          <w:p w14:paraId="6A07778A" w14:textId="26D6B12B" w:rsidR="00914848" w:rsidRDefault="00914848" w:rsidP="00661665">
            <w:pPr>
              <w:pStyle w:val="BodyText"/>
            </w:pPr>
            <w:r>
              <w:t>2023</w:t>
            </w:r>
          </w:p>
        </w:tc>
        <w:tc>
          <w:tcPr>
            <w:tcW w:w="5054" w:type="dxa"/>
            <w:gridSpan w:val="2"/>
          </w:tcPr>
          <w:p w14:paraId="3B81EAD6" w14:textId="2C188974" w:rsidR="00914848" w:rsidRPr="000C6707" w:rsidRDefault="00914848" w:rsidP="00661665">
            <w:pPr>
              <w:pStyle w:val="BodyText"/>
            </w:pPr>
            <w:r w:rsidRPr="00AA06B6">
              <w:t>Newidiadau cosmetig ac eglurder i'r geiriad nad yw'n effeithio ar y cynnwys</w:t>
            </w:r>
          </w:p>
        </w:tc>
      </w:tr>
      <w:tr w:rsidR="00914848" w:rsidRPr="00FD69FF" w14:paraId="7508E514" w14:textId="77777777" w:rsidTr="00914848">
        <w:trPr>
          <w:trHeight w:val="780"/>
        </w:trPr>
        <w:tc>
          <w:tcPr>
            <w:tcW w:w="2263" w:type="dxa"/>
            <w:gridSpan w:val="2"/>
          </w:tcPr>
          <w:p w14:paraId="1E838134" w14:textId="77777777" w:rsidR="00914848" w:rsidRPr="002F1CC4" w:rsidRDefault="00914848" w:rsidP="00661665">
            <w:pPr>
              <w:pStyle w:val="BodyText"/>
              <w:rPr>
                <w:b/>
              </w:rPr>
            </w:pPr>
            <w:r w:rsidRPr="002F1CC4">
              <w:rPr>
                <w:b/>
              </w:rPr>
              <w:t>Swyddog Polisi</w:t>
            </w:r>
          </w:p>
        </w:tc>
        <w:tc>
          <w:tcPr>
            <w:tcW w:w="2320" w:type="dxa"/>
          </w:tcPr>
          <w:p w14:paraId="3600676E" w14:textId="77777777" w:rsidR="00914848" w:rsidRPr="002F1CC4" w:rsidRDefault="00914848" w:rsidP="00661665">
            <w:pPr>
              <w:pStyle w:val="BodyText"/>
              <w:rPr>
                <w:b/>
              </w:rPr>
            </w:pPr>
            <w:r w:rsidRPr="002F1CC4">
              <w:rPr>
                <w:b/>
              </w:rPr>
              <w:t>Uwch Swyddog â Chyfrifoldeb</w:t>
            </w:r>
          </w:p>
        </w:tc>
        <w:tc>
          <w:tcPr>
            <w:tcW w:w="2734" w:type="dxa"/>
          </w:tcPr>
          <w:p w14:paraId="488CC200" w14:textId="77777777" w:rsidR="00914848" w:rsidRPr="002F1CC4" w:rsidRDefault="00914848" w:rsidP="00661665">
            <w:pPr>
              <w:pStyle w:val="BodyText"/>
              <w:rPr>
                <w:b/>
              </w:rPr>
            </w:pPr>
            <w:r w:rsidRPr="002F1CC4">
              <w:rPr>
                <w:b/>
              </w:rPr>
              <w:t>Cymeradwywyd gan a Dyddiad</w:t>
            </w:r>
          </w:p>
        </w:tc>
      </w:tr>
      <w:tr w:rsidR="00914848" w:rsidRPr="00FD69FF" w14:paraId="17BC79E3" w14:textId="77777777" w:rsidTr="00914848">
        <w:trPr>
          <w:trHeight w:val="720"/>
        </w:trPr>
        <w:tc>
          <w:tcPr>
            <w:tcW w:w="2263" w:type="dxa"/>
            <w:gridSpan w:val="2"/>
          </w:tcPr>
          <w:p w14:paraId="71492AD8" w14:textId="532FA6FB" w:rsidR="00914848" w:rsidRPr="00FD69FF" w:rsidRDefault="00914848" w:rsidP="00661665">
            <w:pPr>
              <w:pStyle w:val="BodyText"/>
            </w:pPr>
            <w:r>
              <w:t>Catherine Hughes</w:t>
            </w:r>
          </w:p>
        </w:tc>
        <w:tc>
          <w:tcPr>
            <w:tcW w:w="2320" w:type="dxa"/>
          </w:tcPr>
          <w:p w14:paraId="1EFDA6F8" w14:textId="77777777" w:rsidR="00914848" w:rsidRPr="00FD69FF" w:rsidRDefault="00914848" w:rsidP="00661665">
            <w:pPr>
              <w:pStyle w:val="BodyText"/>
            </w:pPr>
            <w:r>
              <w:t>Steffan Griffiths</w:t>
            </w:r>
          </w:p>
        </w:tc>
        <w:tc>
          <w:tcPr>
            <w:tcW w:w="2734" w:type="dxa"/>
          </w:tcPr>
          <w:p w14:paraId="03FB2D5F" w14:textId="77777777" w:rsidR="00914848" w:rsidRPr="00FD69FF" w:rsidRDefault="00914848" w:rsidP="00661665">
            <w:pPr>
              <w:pStyle w:val="BodyText"/>
            </w:pPr>
            <w:r>
              <w:t>HRTG 10/02/2003</w:t>
            </w:r>
          </w:p>
        </w:tc>
      </w:tr>
    </w:tbl>
    <w:p w14:paraId="349CAA52" w14:textId="77777777" w:rsidR="00661665" w:rsidRDefault="00661665" w:rsidP="00661665"/>
    <w:p w14:paraId="793ECFBF" w14:textId="77777777" w:rsidR="00661665" w:rsidRDefault="00661665">
      <w:pPr>
        <w:suppressAutoHyphens w:val="0"/>
        <w:spacing w:before="0" w:after="160" w:line="259" w:lineRule="auto"/>
      </w:pPr>
      <w:r>
        <w:br w:type="page"/>
      </w:r>
    </w:p>
    <w:p w14:paraId="79B4C8EC" w14:textId="77777777" w:rsidR="000176FA" w:rsidRDefault="000176FA" w:rsidP="00661665"/>
    <w:p w14:paraId="6BC079B8" w14:textId="22DB90B6" w:rsidR="00D64A07" w:rsidRPr="00914848" w:rsidRDefault="00914848" w:rsidP="00914848">
      <w:pPr>
        <w:spacing w:before="100" w:beforeAutospacing="1" w:after="100" w:afterAutospacing="1" w:line="240" w:lineRule="auto"/>
        <w:rPr>
          <w:b/>
          <w:bCs/>
        </w:rPr>
      </w:pPr>
      <w:r>
        <w:t>C</w:t>
      </w:r>
      <w:r>
        <w:rPr>
          <w:b/>
          <w:bCs/>
        </w:rPr>
        <w:t>Y</w:t>
      </w:r>
      <w:r w:rsidR="00D64A07" w:rsidRPr="00914848">
        <w:rPr>
          <w:b/>
          <w:bCs/>
        </w:rPr>
        <w:t>NNWYS</w:t>
      </w:r>
    </w:p>
    <w:p w14:paraId="7551F14C" w14:textId="3B7004D3" w:rsidR="00D64A07" w:rsidRPr="00914848" w:rsidRDefault="00D64A07" w:rsidP="00914848">
      <w:pPr>
        <w:spacing w:before="100" w:beforeAutospacing="1" w:after="100" w:afterAutospacing="1" w:line="240" w:lineRule="auto"/>
        <w:rPr>
          <w:b/>
          <w:bCs/>
        </w:rPr>
      </w:pPr>
    </w:p>
    <w:p w14:paraId="5375F927" w14:textId="1EE76CA0" w:rsidR="00914848" w:rsidRPr="00914848" w:rsidRDefault="00914848" w:rsidP="00914848">
      <w:pPr>
        <w:spacing w:before="100" w:beforeAutospacing="1" w:after="100" w:afterAutospacing="1" w:line="240" w:lineRule="auto"/>
        <w:rPr>
          <w:b/>
          <w:bCs/>
        </w:rPr>
      </w:pPr>
      <w:r w:rsidRPr="00914848">
        <w:rPr>
          <w:b/>
          <w:bCs/>
        </w:rPr>
        <w:t>1. BETH YW ABSENOLDEB TADOLAETH?</w:t>
      </w:r>
    </w:p>
    <w:p w14:paraId="3787A403" w14:textId="460B52B0" w:rsidR="00914848" w:rsidRPr="00914848" w:rsidRDefault="00914848" w:rsidP="00914848">
      <w:pPr>
        <w:spacing w:before="100" w:beforeAutospacing="1" w:after="100" w:afterAutospacing="1" w:line="240" w:lineRule="auto"/>
        <w:rPr>
          <w:b/>
          <w:bCs/>
        </w:rPr>
      </w:pPr>
      <w:r w:rsidRPr="00914848">
        <w:rPr>
          <w:b/>
          <w:bCs/>
        </w:rPr>
        <w:t>2. HAWL</w:t>
      </w:r>
    </w:p>
    <w:p w14:paraId="77C98166" w14:textId="35591E24" w:rsidR="00914848" w:rsidRPr="00914848" w:rsidRDefault="00914848" w:rsidP="00914848">
      <w:pPr>
        <w:pStyle w:val="Heading1"/>
        <w:spacing w:before="100" w:beforeAutospacing="1" w:after="100" w:afterAutospacing="1" w:line="240" w:lineRule="auto"/>
      </w:pPr>
      <w:r w:rsidRPr="00914848">
        <w:t>3. HYD ABSENOLDEB TADOLAETH A THÂL TADOLAETH</w:t>
      </w:r>
    </w:p>
    <w:p w14:paraId="165C654C" w14:textId="1214E6F1" w:rsidR="00D64A07" w:rsidRPr="00914848" w:rsidRDefault="00D64A07" w:rsidP="00914848">
      <w:pPr>
        <w:pStyle w:val="Heading1"/>
        <w:spacing w:before="100" w:beforeAutospacing="1" w:after="100" w:afterAutospacing="1" w:line="240" w:lineRule="auto"/>
      </w:pPr>
      <w:r w:rsidRPr="00914848">
        <w:t xml:space="preserve">4. </w:t>
      </w:r>
      <w:r w:rsidR="00914848" w:rsidRPr="00914848">
        <w:t>RHYBUDD O’R BWRIAD I GYMRYD ABSENOLDEB TADOLAETH</w:t>
      </w:r>
    </w:p>
    <w:p w14:paraId="1D3C2691" w14:textId="35F84EEF" w:rsidR="00D64A07" w:rsidRPr="00914848" w:rsidRDefault="00D64A07" w:rsidP="00914848">
      <w:pPr>
        <w:pStyle w:val="Heading1"/>
        <w:spacing w:before="100" w:beforeAutospacing="1" w:after="100" w:afterAutospacing="1" w:line="240" w:lineRule="auto"/>
      </w:pPr>
      <w:r w:rsidRPr="00914848">
        <w:t xml:space="preserve">5. </w:t>
      </w:r>
      <w:r w:rsidRPr="00914848">
        <w:rPr>
          <w:rFonts w:eastAsiaTheme="minorHAnsi"/>
          <w:lang w:eastAsia="en-US"/>
        </w:rPr>
        <w:t>APWYNTIADAU CYN-GENI / CYN MABWYSIADU</w:t>
      </w:r>
    </w:p>
    <w:p w14:paraId="47DE04F4" w14:textId="0C59F354" w:rsidR="00D64A07" w:rsidRPr="00914848" w:rsidRDefault="00D64A07" w:rsidP="00914848">
      <w:pPr>
        <w:spacing w:before="100" w:beforeAutospacing="1" w:after="100" w:afterAutospacing="1" w:line="240" w:lineRule="auto"/>
        <w:rPr>
          <w:b/>
          <w:bCs/>
        </w:rPr>
      </w:pPr>
      <w:r w:rsidRPr="00914848">
        <w:rPr>
          <w:b/>
          <w:bCs/>
        </w:rPr>
        <w:t>6. GWYLIAU BLYNYDDOL</w:t>
      </w:r>
    </w:p>
    <w:p w14:paraId="7E8A789B" w14:textId="3A5EF536" w:rsidR="00D64A07" w:rsidRPr="00914848" w:rsidRDefault="00D64A07" w:rsidP="00914848">
      <w:pPr>
        <w:spacing w:before="100" w:beforeAutospacing="1" w:after="100" w:afterAutospacing="1" w:line="240" w:lineRule="auto"/>
        <w:rPr>
          <w:b/>
          <w:bCs/>
        </w:rPr>
      </w:pPr>
      <w:r w:rsidRPr="00914848">
        <w:rPr>
          <w:b/>
          <w:bCs/>
        </w:rPr>
        <w:t>7. CEFNOGAETH ARALL</w:t>
      </w:r>
    </w:p>
    <w:p w14:paraId="274204C6" w14:textId="6CC977E8" w:rsidR="005F627B" w:rsidRDefault="00D64A07" w:rsidP="00914848">
      <w:pPr>
        <w:spacing w:before="100" w:beforeAutospacing="1" w:after="100" w:afterAutospacing="1" w:line="240" w:lineRule="auto"/>
      </w:pPr>
      <w:r w:rsidRPr="00914848">
        <w:rPr>
          <w:b/>
          <w:bCs/>
        </w:rPr>
        <w:t>8. ADOLYGU POLISI</w:t>
      </w:r>
      <w:r w:rsidR="005F627B">
        <w:br w:type="page"/>
      </w:r>
    </w:p>
    <w:p w14:paraId="2ABDD940" w14:textId="77777777" w:rsidR="00392EA2" w:rsidRDefault="00392EA2" w:rsidP="00392EA2">
      <w:pPr>
        <w:pStyle w:val="Heading1"/>
      </w:pPr>
      <w:bookmarkStart w:id="0" w:name="_Toc508101461"/>
      <w:r>
        <w:lastRenderedPageBreak/>
        <w:t>1</w:t>
      </w:r>
      <w:r>
        <w:tab/>
        <w:t>BETH YW ABSENOLDEB TADOLAETH?</w:t>
      </w:r>
      <w:bookmarkEnd w:id="0"/>
    </w:p>
    <w:p w14:paraId="5044445D" w14:textId="77777777" w:rsidR="00392EA2" w:rsidRDefault="00392EA2" w:rsidP="00392EA2"/>
    <w:p w14:paraId="16C17B2E" w14:textId="7ADEA0AA" w:rsidR="00D54700" w:rsidRDefault="00D54700" w:rsidP="00D54700">
      <w:pPr>
        <w:jc w:val="both"/>
      </w:pPr>
      <w:r w:rsidRPr="00D54700">
        <w:t>Yma ym Mhrifysgol Bangor, rydym yn gwybod bod cael babi neu fabwysiadu plentyn newydd yn gyfnod pwysig a chyffrous ac rydym am gefnogi cydweithwyr.</w:t>
      </w:r>
    </w:p>
    <w:p w14:paraId="49C68115" w14:textId="77777777" w:rsidR="00D54700" w:rsidRPr="00D54700" w:rsidRDefault="00D54700" w:rsidP="00D54700">
      <w:pPr>
        <w:jc w:val="both"/>
      </w:pPr>
    </w:p>
    <w:p w14:paraId="179F5653" w14:textId="3ECBB033" w:rsidR="00D54700" w:rsidRDefault="00D54700" w:rsidP="00D54700">
      <w:pPr>
        <w:jc w:val="both"/>
      </w:pPr>
      <w:r w:rsidRPr="00D54700">
        <w:t xml:space="preserve">Mae’r polisi hwn yn nodi’r hawliau i absenoldeb a thâl ar gyfer tadau, partneriaid beichiog a chyd-fabwysiadon. Sylwch, os yw cydweithiwr yn brif </w:t>
      </w:r>
      <w:proofErr w:type="spellStart"/>
      <w:r w:rsidRPr="00D54700">
        <w:t>fabwysiadir</w:t>
      </w:r>
      <w:proofErr w:type="spellEnd"/>
      <w:r w:rsidRPr="00D54700">
        <w:t>, mae eu hawliau wedi’u nodi yn y polisi Absenoldeb Mabwysiadu.</w:t>
      </w:r>
    </w:p>
    <w:p w14:paraId="27336CB8" w14:textId="77777777" w:rsidR="00D54700" w:rsidRPr="00D54700" w:rsidRDefault="00D54700" w:rsidP="00D54700">
      <w:pPr>
        <w:jc w:val="both"/>
      </w:pPr>
    </w:p>
    <w:p w14:paraId="65FF9500" w14:textId="5F52EF0C" w:rsidR="00392EA2" w:rsidRDefault="00D54700" w:rsidP="00D54700">
      <w:pPr>
        <w:jc w:val="both"/>
      </w:pPr>
      <w:r w:rsidRPr="00D54700">
        <w:t>Rydym yn cydnabod efallai na fydd rhai o’n cydweithwyr yn uniaethu â’r term tadolaeth, felly rydym wedi ychwanegu’r term rhiant nad yw’n feichiog i’r polisi hwn er mwyn sicrhau cynhwysiant. Fodd bynnag, er mwyn symlrwydd, ac yn unol â deddfwriaeth, mae’n bosibl y bydd y term tadolaeth yn dal i gael ei ddefnyddio yn ein ffurflenni a’n systemau, gan gynnwys y gyflogres, felly sylwch, lle caiff ei ddefnyddio, mae’r term hwn yn cynnwys pob rhiant nad yw’n feichiog. Rydym yn cydnabod, mewn cwpl sy’n mabwysiadu neu’n cael plentyn drwy fam fenthyg, y gallai’r naill bartner neu’r llall fod yn gyd-</w:t>
      </w:r>
      <w:proofErr w:type="spellStart"/>
      <w:r w:rsidRPr="00D54700">
        <w:t>fabwysiadir</w:t>
      </w:r>
      <w:proofErr w:type="spellEnd"/>
      <w:r w:rsidRPr="00D54700">
        <w:t>.</w:t>
      </w:r>
    </w:p>
    <w:p w14:paraId="19040C73" w14:textId="77777777" w:rsidR="00392EA2" w:rsidRDefault="00392EA2" w:rsidP="00392EA2"/>
    <w:p w14:paraId="4B5E5D63" w14:textId="77777777" w:rsidR="00392EA2" w:rsidRDefault="00392EA2" w:rsidP="00392EA2">
      <w:pPr>
        <w:pStyle w:val="Heading1"/>
      </w:pPr>
      <w:bookmarkStart w:id="1" w:name="_Toc508101462"/>
      <w:r>
        <w:t>2</w:t>
      </w:r>
      <w:r>
        <w:tab/>
        <w:t>HAWL</w:t>
      </w:r>
      <w:bookmarkEnd w:id="1"/>
    </w:p>
    <w:p w14:paraId="7E316EFC" w14:textId="77777777" w:rsidR="00392EA2" w:rsidRDefault="00392EA2" w:rsidP="00392EA2"/>
    <w:p w14:paraId="1D6BA682" w14:textId="7217C574" w:rsidR="00D54700" w:rsidRDefault="00D54700" w:rsidP="00914848">
      <w:pPr>
        <w:suppressAutoHyphens w:val="0"/>
        <w:autoSpaceDE w:val="0"/>
        <w:autoSpaceDN w:val="0"/>
        <w:adjustRightInd w:val="0"/>
        <w:spacing w:before="0" w:after="0" w:line="240" w:lineRule="auto"/>
        <w:jc w:val="both"/>
        <w:rPr>
          <w:rFonts w:eastAsiaTheme="minorHAnsi"/>
          <w:lang w:eastAsia="en-US"/>
        </w:rPr>
      </w:pPr>
      <w:r>
        <w:rPr>
          <w:rFonts w:eastAsiaTheme="minorHAnsi"/>
          <w:lang w:eastAsia="en-US"/>
        </w:rPr>
        <w:t>Mae'r polisi hwn yn berthnasol i holl gydweithwyr y Brifysgol, boed yn gyflogedig ar sail amser llawn, rhan-amser, tymor penodol neu barhaol, sy'n berthnasol o ddiwrnod cyntaf eu cyflogaeth. Nid yw'n berthnasol i weithwyr asiantaeth na chontractwyr hunangyflogedig. Er mwyn bod yn gymwys ar gyfer absenoldeb tadolaeth bydd angen i gydweithwyr fodloni’r amodau canlynol:</w:t>
      </w:r>
    </w:p>
    <w:p w14:paraId="14FEE88E" w14:textId="77777777" w:rsidR="00D64A07" w:rsidRDefault="00D64A07" w:rsidP="00914848">
      <w:pPr>
        <w:suppressAutoHyphens w:val="0"/>
        <w:autoSpaceDE w:val="0"/>
        <w:autoSpaceDN w:val="0"/>
        <w:adjustRightInd w:val="0"/>
        <w:spacing w:before="0" w:after="0" w:line="240" w:lineRule="auto"/>
        <w:jc w:val="both"/>
        <w:rPr>
          <w:rFonts w:eastAsiaTheme="minorHAnsi"/>
          <w:lang w:eastAsia="en-US"/>
        </w:rPr>
      </w:pPr>
    </w:p>
    <w:p w14:paraId="45DF7AAE" w14:textId="77777777" w:rsidR="00D54700" w:rsidRDefault="00D54700" w:rsidP="00914848">
      <w:pPr>
        <w:suppressAutoHyphens w:val="0"/>
        <w:autoSpaceDE w:val="0"/>
        <w:autoSpaceDN w:val="0"/>
        <w:adjustRightInd w:val="0"/>
        <w:spacing w:before="0" w:after="0" w:line="240" w:lineRule="auto"/>
        <w:jc w:val="both"/>
        <w:rPr>
          <w:rFonts w:eastAsiaTheme="minorHAnsi"/>
          <w:lang w:eastAsia="en-US"/>
        </w:rPr>
      </w:pPr>
      <w:r>
        <w:rPr>
          <w:rFonts w:eastAsiaTheme="minorHAnsi"/>
          <w:lang w:eastAsia="en-US"/>
        </w:rPr>
        <w:t>• Mae cydweithwyr naill ai'n dad biolegol y plentyn neu'n bartner i'r rhiant beichiog,</w:t>
      </w:r>
    </w:p>
    <w:p w14:paraId="29723A8E" w14:textId="32260903" w:rsidR="00D54700" w:rsidRDefault="00D54700" w:rsidP="00914848">
      <w:pPr>
        <w:suppressAutoHyphens w:val="0"/>
        <w:autoSpaceDE w:val="0"/>
        <w:autoSpaceDN w:val="0"/>
        <w:adjustRightInd w:val="0"/>
        <w:spacing w:before="0" w:after="0" w:line="240" w:lineRule="auto"/>
        <w:jc w:val="both"/>
        <w:rPr>
          <w:rFonts w:eastAsiaTheme="minorHAnsi"/>
          <w:lang w:eastAsia="en-US"/>
        </w:rPr>
      </w:pPr>
      <w:r>
        <w:rPr>
          <w:rFonts w:eastAsiaTheme="minorHAnsi"/>
          <w:lang w:eastAsia="en-US"/>
        </w:rPr>
        <w:t xml:space="preserve"> NEU</w:t>
      </w:r>
    </w:p>
    <w:p w14:paraId="66DC273F" w14:textId="78348C9B" w:rsidR="00392EA2" w:rsidRDefault="00D54700" w:rsidP="00914848">
      <w:pPr>
        <w:jc w:val="both"/>
        <w:rPr>
          <w:rFonts w:eastAsiaTheme="minorHAnsi"/>
          <w:lang w:eastAsia="en-US"/>
        </w:rPr>
      </w:pPr>
      <w:r>
        <w:rPr>
          <w:rFonts w:eastAsiaTheme="minorHAnsi"/>
          <w:lang w:eastAsia="en-US"/>
        </w:rPr>
        <w:t>• Maen nhw a'u partner yn mabwysiadu plentyn, neu'n cael plentyn trwy gytundeb benthyg croth, a nhw yw'r cyd-</w:t>
      </w:r>
      <w:proofErr w:type="spellStart"/>
      <w:r>
        <w:rPr>
          <w:rFonts w:eastAsiaTheme="minorHAnsi"/>
          <w:lang w:eastAsia="en-US"/>
        </w:rPr>
        <w:t>fabwysiadir</w:t>
      </w:r>
      <w:proofErr w:type="spellEnd"/>
      <w:r>
        <w:rPr>
          <w:rFonts w:eastAsiaTheme="minorHAnsi"/>
          <w:lang w:eastAsia="en-US"/>
        </w:rPr>
        <w:t>.</w:t>
      </w:r>
    </w:p>
    <w:p w14:paraId="13031251" w14:textId="77777777" w:rsidR="00D64A07" w:rsidRDefault="00D64A07" w:rsidP="00D54700"/>
    <w:p w14:paraId="26DA975F" w14:textId="77777777" w:rsidR="00392EA2" w:rsidRDefault="00392EA2" w:rsidP="00392EA2">
      <w:pPr>
        <w:pStyle w:val="Heading1"/>
      </w:pPr>
      <w:bookmarkStart w:id="2" w:name="_Toc508101463"/>
      <w:r>
        <w:t>3</w:t>
      </w:r>
      <w:r>
        <w:tab/>
        <w:t>HYD ABSENOLDEB TADOLAETH A THÂL TADOLAETH</w:t>
      </w:r>
      <w:bookmarkEnd w:id="2"/>
    </w:p>
    <w:p w14:paraId="2AEDD82D" w14:textId="77777777" w:rsidR="00392EA2" w:rsidRDefault="00392EA2" w:rsidP="00392EA2"/>
    <w:p w14:paraId="2842F34B" w14:textId="29939FCD" w:rsidR="00D64A07" w:rsidRDefault="00D64A07" w:rsidP="00D64A07">
      <w:pPr>
        <w:jc w:val="both"/>
      </w:pPr>
      <w:r w:rsidRPr="00D64A07">
        <w:t>Mae gan gydweithwyr hawl i gymryd absenoldeb Tadolaeth / Rhiant nad yw'n feichiog / Cyd-</w:t>
      </w:r>
      <w:proofErr w:type="spellStart"/>
      <w:r w:rsidRPr="00D64A07">
        <w:t>fabwysiadir</w:t>
      </w:r>
      <w:proofErr w:type="spellEnd"/>
      <w:r w:rsidRPr="00D64A07">
        <w:t xml:space="preserve"> naill ai fel un wythnos neu ddwy wythnos olynol - ond nid fel dwy wythnos ar wahân a thelir hwn ar y gyfradd wythnosol arferol.</w:t>
      </w:r>
    </w:p>
    <w:p w14:paraId="1F663372" w14:textId="77777777" w:rsidR="00D64A07" w:rsidRPr="00D64A07" w:rsidRDefault="00D64A07" w:rsidP="00D64A07">
      <w:pPr>
        <w:jc w:val="both"/>
      </w:pPr>
    </w:p>
    <w:p w14:paraId="2B7C3BB2" w14:textId="2405CA84" w:rsidR="00D64A07" w:rsidRDefault="00D64A07" w:rsidP="00D64A07">
      <w:pPr>
        <w:jc w:val="both"/>
      </w:pPr>
      <w:r w:rsidRPr="00D64A07">
        <w:t>Gall cydweithwyr ddechrau eu habsenoldeb ar unrhyw ddiwrnod o'r wythnos ar ôl i'w plentyn gael ei eni, neu ar gyfer cyd-</w:t>
      </w:r>
      <w:proofErr w:type="spellStart"/>
      <w:r w:rsidRPr="00D64A07">
        <w:t>fabwysiadir</w:t>
      </w:r>
      <w:proofErr w:type="spellEnd"/>
      <w:r w:rsidRPr="00D64A07">
        <w:t>, pan fydd eu lleoliad mabwysiadu / maethu i fabwysiadu / cynllunio cydamserol yn dechrau.</w:t>
      </w:r>
    </w:p>
    <w:p w14:paraId="0D36E23A" w14:textId="77777777" w:rsidR="00D64A07" w:rsidRPr="00D64A07" w:rsidRDefault="00D64A07" w:rsidP="00D64A07">
      <w:pPr>
        <w:jc w:val="both"/>
      </w:pPr>
    </w:p>
    <w:p w14:paraId="580ADF06" w14:textId="0D918E5C" w:rsidR="00D64A07" w:rsidRDefault="00D64A07" w:rsidP="00D64A07">
      <w:pPr>
        <w:jc w:val="both"/>
      </w:pPr>
      <w:r w:rsidRPr="00D64A07">
        <w:t>Os ydynt yn mabwysiadu trwy faethu i fabwysiadu / cynllunio cydamserol, gall cydweithwyr ohirio eu habsenoldeb nes bod eu gorchymyn lleoliad mabwysiadu yn cael ei ganiatáu.</w:t>
      </w:r>
    </w:p>
    <w:p w14:paraId="240F173F" w14:textId="77777777" w:rsidR="00D64A07" w:rsidRPr="00D64A07" w:rsidRDefault="00D64A07" w:rsidP="00D64A07">
      <w:pPr>
        <w:jc w:val="both"/>
      </w:pPr>
    </w:p>
    <w:p w14:paraId="341ACE55" w14:textId="77777777" w:rsidR="00D64A07" w:rsidRPr="00D64A07" w:rsidRDefault="00D64A07" w:rsidP="00D64A07">
      <w:pPr>
        <w:jc w:val="both"/>
      </w:pPr>
      <w:r w:rsidRPr="00D64A07">
        <w:t>Ni all cydweithwyr ddechrau eu habsenoldeb tadolaeth gyffredinol cyn i'w babi gael ei eni.</w:t>
      </w:r>
    </w:p>
    <w:p w14:paraId="036A74F7" w14:textId="5A2C2F1E" w:rsidR="00D64A07" w:rsidRDefault="00D64A07" w:rsidP="00D64A07">
      <w:pPr>
        <w:jc w:val="both"/>
      </w:pPr>
      <w:r w:rsidRPr="00D64A07">
        <w:lastRenderedPageBreak/>
        <w:t>Rhaid i’r cyfnod absenoldeb ddod i ben o fewn 56 diwrnod, neu 8 wythnos, o enedigaeth, neu leoliad y plentyn (neu os yw’n mabwysiadu trwy faethu i fabwysiadu / cynllunio cydamserol, o fewn 56 diwrnod, neu wyth wythnos i’r gorchymyn lleoliad mabwysiadu)</w:t>
      </w:r>
      <w:r>
        <w:t>.</w:t>
      </w:r>
    </w:p>
    <w:p w14:paraId="6C1875ED" w14:textId="77777777" w:rsidR="00D64A07" w:rsidRPr="00D64A07" w:rsidRDefault="00D64A07" w:rsidP="00D64A07">
      <w:pPr>
        <w:jc w:val="both"/>
      </w:pPr>
    </w:p>
    <w:p w14:paraId="29C3CF7C" w14:textId="496ABF95" w:rsidR="00392EA2" w:rsidRDefault="00D64A07" w:rsidP="00D64A07">
      <w:pPr>
        <w:jc w:val="both"/>
      </w:pPr>
      <w:r w:rsidRPr="00D64A07">
        <w:t xml:space="preserve">Pan </w:t>
      </w:r>
      <w:r>
        <w:t>mae</w:t>
      </w:r>
      <w:r w:rsidRPr="00D64A07">
        <w:t>’r babi’n farw-anedig</w:t>
      </w:r>
      <w:r>
        <w:t xml:space="preserve"> </w:t>
      </w:r>
      <w:r w:rsidRPr="00D64A07">
        <w:t>yn ystod neu ar ôl 25ain wythnos y beichiogrwydd neu pan nad yw’r cyfnod mabwysiadu yn gweithio allan, bydd gan gydweithwyr hawl i absenoldeb tadolaeth fel y cynlluniwyd yn wreiddiol.</w:t>
      </w:r>
    </w:p>
    <w:p w14:paraId="1F449D42" w14:textId="77777777" w:rsidR="00D64A07" w:rsidRDefault="00D64A07" w:rsidP="00D64A07">
      <w:pPr>
        <w:jc w:val="both"/>
      </w:pPr>
    </w:p>
    <w:p w14:paraId="57FB9885" w14:textId="77777777" w:rsidR="00392EA2" w:rsidRDefault="00392EA2" w:rsidP="00392EA2">
      <w:pPr>
        <w:pStyle w:val="Heading1"/>
      </w:pPr>
      <w:bookmarkStart w:id="3" w:name="_Toc508101464"/>
      <w:r>
        <w:t>4</w:t>
      </w:r>
      <w:r>
        <w:tab/>
        <w:t>RHYBUDD O’R BWRIAD I GYMRYD ABSENOLDEB TADOLAETH</w:t>
      </w:r>
      <w:bookmarkEnd w:id="3"/>
    </w:p>
    <w:p w14:paraId="6A17034D" w14:textId="77777777" w:rsidR="00392EA2" w:rsidRDefault="00392EA2" w:rsidP="00392EA2"/>
    <w:p w14:paraId="6A771E6D" w14:textId="0A124BB3" w:rsidR="00D64A07" w:rsidRDefault="00D64A07" w:rsidP="00D64A07">
      <w:pPr>
        <w:jc w:val="both"/>
      </w:pPr>
      <w:r w:rsidRPr="00D64A07">
        <w:t>Pe bai cydweithwyr yn dymuno cymryd cyfnod o absenoldeb Tadolaeth / Rhiant nad yw'n feichiog / Cyd-</w:t>
      </w:r>
      <w:proofErr w:type="spellStart"/>
      <w:r w:rsidRPr="00D64A07">
        <w:t>fabwysiadir</w:t>
      </w:r>
      <w:proofErr w:type="spellEnd"/>
      <w:r w:rsidRPr="00D64A07">
        <w:t>, argymhellir eu bod yn trafod eu habsenoldeb gyda'u rheolwr llinell yn y lle cyntaf.</w:t>
      </w:r>
    </w:p>
    <w:p w14:paraId="7AEEBFCE" w14:textId="77777777" w:rsidR="00D64A07" w:rsidRPr="00D64A07" w:rsidRDefault="00D64A07" w:rsidP="00D64A07">
      <w:pPr>
        <w:jc w:val="both"/>
      </w:pPr>
    </w:p>
    <w:p w14:paraId="18BAC4D8" w14:textId="57E82FF7" w:rsidR="00D64A07" w:rsidRPr="0076773A" w:rsidRDefault="0076773A" w:rsidP="00D64A07">
      <w:pPr>
        <w:jc w:val="both"/>
        <w:rPr>
          <w:color w:val="242424"/>
          <w:shd w:val="clear" w:color="auto" w:fill="FFFFFF"/>
        </w:rPr>
      </w:pPr>
      <w:r w:rsidRPr="0076773A">
        <w:rPr>
          <w:color w:val="242424"/>
          <w:shd w:val="clear" w:color="auto" w:fill="FFFFFF"/>
        </w:rPr>
        <w:t xml:space="preserve">Bydd cydweithwyr yn gwneud y cais  trwy </w:t>
      </w:r>
      <w:proofErr w:type="spellStart"/>
      <w:r w:rsidRPr="0076773A">
        <w:rPr>
          <w:color w:val="242424"/>
          <w:shd w:val="clear" w:color="auto" w:fill="FFFFFF"/>
        </w:rPr>
        <w:t>iTrent</w:t>
      </w:r>
      <w:proofErr w:type="spellEnd"/>
      <w:r w:rsidRPr="0076773A">
        <w:rPr>
          <w:color w:val="242424"/>
          <w:shd w:val="clear" w:color="auto" w:fill="FFFFFF"/>
        </w:rPr>
        <w:t xml:space="preserve">, a fydd wedyn yn cael ei gadarnhau gan y Rheolwr Llinell o fewn system </w:t>
      </w:r>
      <w:proofErr w:type="spellStart"/>
      <w:r>
        <w:rPr>
          <w:color w:val="242424"/>
          <w:shd w:val="clear" w:color="auto" w:fill="FFFFFF"/>
        </w:rPr>
        <w:t>i</w:t>
      </w:r>
      <w:r w:rsidRPr="0076773A">
        <w:rPr>
          <w:color w:val="242424"/>
          <w:shd w:val="clear" w:color="auto" w:fill="FFFFFF"/>
        </w:rPr>
        <w:t>Trent</w:t>
      </w:r>
      <w:proofErr w:type="spellEnd"/>
      <w:r w:rsidRPr="0076773A">
        <w:rPr>
          <w:color w:val="242424"/>
          <w:shd w:val="clear" w:color="auto" w:fill="FFFFFF"/>
        </w:rPr>
        <w:t>. Bydd Adnoddau Dynol yn cael eu hysbysu'n awtomatig ac yn cadarnhau manylion y gwyliau yn unol â hynny.</w:t>
      </w:r>
    </w:p>
    <w:p w14:paraId="2CE8CADC" w14:textId="77777777" w:rsidR="0076773A" w:rsidRPr="00D64A07" w:rsidRDefault="0076773A" w:rsidP="00D64A07">
      <w:pPr>
        <w:jc w:val="both"/>
      </w:pPr>
    </w:p>
    <w:p w14:paraId="394F0275" w14:textId="501E5FA5" w:rsidR="00D64A07" w:rsidRDefault="00D64A07" w:rsidP="00D64A07">
      <w:pPr>
        <w:jc w:val="both"/>
      </w:pPr>
      <w:r w:rsidRPr="00D64A07">
        <w:t xml:space="preserve">Os bydd cydweithiwr am unrhyw reswm yn dymuno newid dyddiad dechrau ei gyfnod gwyliau, dylai roi o leiaf 28 diwrnod o rybudd o’r newid, oni bai nad yw hyn yn rhesymol ymarferol. Bydd eu Rheolwr Llinell yn diweddaru'r manylion absenoldeb yn </w:t>
      </w:r>
      <w:proofErr w:type="spellStart"/>
      <w:r w:rsidRPr="00D64A07">
        <w:t>iTrent</w:t>
      </w:r>
      <w:proofErr w:type="spellEnd"/>
      <w:r w:rsidRPr="00D64A07">
        <w:t xml:space="preserve"> a bydd Adnoddau Dynol yn rhoi cydnabyddiaeth wedi'i diweddaru.</w:t>
      </w:r>
    </w:p>
    <w:p w14:paraId="38481A3A" w14:textId="77777777" w:rsidR="00D64A07" w:rsidRPr="00D64A07" w:rsidRDefault="00D64A07" w:rsidP="00D64A07">
      <w:pPr>
        <w:jc w:val="both"/>
      </w:pPr>
    </w:p>
    <w:p w14:paraId="61BB3138" w14:textId="41230261" w:rsidR="00392EA2" w:rsidRDefault="00D64A07" w:rsidP="00D64A07">
      <w:pPr>
        <w:jc w:val="both"/>
      </w:pPr>
      <w:r w:rsidRPr="00D64A07">
        <w:t>Os bydd gan gydweithwyr fwy nag un swydd yn y Brifysgol, rhaid cymryd eu habsenoldeb Tadolaeth / Rhiant nad yw'n feichiog / Cyd-</w:t>
      </w:r>
      <w:proofErr w:type="spellStart"/>
      <w:r w:rsidRPr="00D64A07">
        <w:t>fabwysiadir</w:t>
      </w:r>
      <w:proofErr w:type="spellEnd"/>
      <w:r w:rsidRPr="00D64A07">
        <w:t xml:space="preserve"> ar yr un pryd ym mhob rôl, a chael yr un dyddiadau dechrau a gorffen. Bydd angen i gydweithwyr ddweud wrth eu rheolwyr llinell.</w:t>
      </w:r>
    </w:p>
    <w:p w14:paraId="771F1EDF" w14:textId="77777777" w:rsidR="00D64A07" w:rsidRDefault="00D64A07" w:rsidP="00D64A07"/>
    <w:p w14:paraId="655C0B2E" w14:textId="65BCB5B2" w:rsidR="00392EA2" w:rsidRDefault="00392EA2" w:rsidP="00392EA2">
      <w:pPr>
        <w:pStyle w:val="Heading1"/>
      </w:pPr>
      <w:bookmarkStart w:id="4" w:name="_Toc508101465"/>
      <w:r>
        <w:t>5</w:t>
      </w:r>
      <w:r>
        <w:tab/>
      </w:r>
      <w:bookmarkEnd w:id="4"/>
      <w:r w:rsidR="00D64A07">
        <w:rPr>
          <w:rFonts w:eastAsiaTheme="minorHAnsi"/>
          <w:lang w:eastAsia="en-US"/>
        </w:rPr>
        <w:t>APWYNTIADAU CYN-GENI / CYN MABWYSIADU</w:t>
      </w:r>
    </w:p>
    <w:p w14:paraId="1725DBC0" w14:textId="77777777" w:rsidR="00392EA2" w:rsidRDefault="00392EA2" w:rsidP="00392EA2"/>
    <w:p w14:paraId="43011794" w14:textId="64ABF5BF" w:rsidR="00D64A07" w:rsidRDefault="00D64A07" w:rsidP="00D64A07">
      <w:pPr>
        <w:jc w:val="both"/>
      </w:pPr>
      <w:r w:rsidRPr="00D64A07">
        <w:t>Gwyddom ei bod yn bwysig i gydweithwyr fynd i apwyntiadau cyn-geni neu gyn-mabwysiadu gyda’u partner. Mae gan gydweithwyr hawl i amser o’r gwaith â thâl i fynychu apwyntiadau meddygol, dosbarthiadau ymlacio a magu plant sydd wedi’u hargymell neu eu gwneud ar gyngor bydwraig neu feddyg teulu, archwiliadau cyn geni / apwyntiadau mabwysiadu gyda’ch partner.</w:t>
      </w:r>
    </w:p>
    <w:p w14:paraId="33FF967A" w14:textId="77777777" w:rsidR="00D64A07" w:rsidRPr="00D64A07" w:rsidRDefault="00D64A07" w:rsidP="00D64A07">
      <w:pPr>
        <w:jc w:val="both"/>
      </w:pPr>
    </w:p>
    <w:p w14:paraId="226C07C7" w14:textId="42D80B53" w:rsidR="00392EA2" w:rsidRDefault="00D64A07" w:rsidP="00D64A07">
      <w:pPr>
        <w:jc w:val="both"/>
      </w:pPr>
      <w:r w:rsidRPr="00D64A07">
        <w:t>Dylai cydweithwyr hysbysu eu Rheolwr Llinell am eu hapwyntiad ymlaen llaw.</w:t>
      </w:r>
    </w:p>
    <w:p w14:paraId="25732B85" w14:textId="77777777" w:rsidR="00392EA2" w:rsidRDefault="00392EA2" w:rsidP="00392EA2"/>
    <w:p w14:paraId="4E595912" w14:textId="77777777" w:rsidR="00392EA2" w:rsidRDefault="00392EA2" w:rsidP="00392EA2">
      <w:pPr>
        <w:pStyle w:val="Heading1"/>
      </w:pPr>
      <w:bookmarkStart w:id="5" w:name="_Toc508101466"/>
      <w:r>
        <w:t>6</w:t>
      </w:r>
      <w:r>
        <w:tab/>
        <w:t>GWYLIAU BLYNYDDOL</w:t>
      </w:r>
      <w:bookmarkEnd w:id="5"/>
    </w:p>
    <w:p w14:paraId="54BAD384" w14:textId="77777777" w:rsidR="00392EA2" w:rsidRDefault="00392EA2" w:rsidP="00392EA2"/>
    <w:p w14:paraId="21119CB6" w14:textId="51E801B4" w:rsidR="00D64A07" w:rsidRDefault="00D64A07" w:rsidP="00D64A07">
      <w:pPr>
        <w:jc w:val="both"/>
      </w:pPr>
      <w:r w:rsidRPr="00D64A07">
        <w:t>Bydd cydweithwyr yn cronni gwyliau blynyddol yn ystod y cyfnod taledig hwn. Mae hyn yn cynnwys unrhyw wyliau cyhoeddus neu ddiwrnodau Prifysgol a all ddod o fewn y cyfnod hwn.</w:t>
      </w:r>
    </w:p>
    <w:p w14:paraId="4C9624EA" w14:textId="77777777" w:rsidR="00D64A07" w:rsidRDefault="00D64A07" w:rsidP="00D64A07">
      <w:pPr>
        <w:jc w:val="both"/>
      </w:pPr>
    </w:p>
    <w:p w14:paraId="1F613F80" w14:textId="77777777" w:rsidR="00D64A07" w:rsidRPr="00D64A07" w:rsidRDefault="00D64A07" w:rsidP="00D64A07"/>
    <w:p w14:paraId="024587BF" w14:textId="37130CA2" w:rsidR="00D64A07" w:rsidRDefault="00D64A07" w:rsidP="00D64A07">
      <w:pPr>
        <w:rPr>
          <w:b/>
          <w:bCs/>
        </w:rPr>
      </w:pPr>
      <w:r>
        <w:rPr>
          <w:b/>
          <w:bCs/>
        </w:rPr>
        <w:lastRenderedPageBreak/>
        <w:t>7</w:t>
      </w:r>
      <w:r>
        <w:rPr>
          <w:b/>
          <w:bCs/>
        </w:rPr>
        <w:tab/>
      </w:r>
      <w:r w:rsidRPr="00D64A07">
        <w:rPr>
          <w:b/>
          <w:bCs/>
        </w:rPr>
        <w:t>CEFNOGAETH ARALL</w:t>
      </w:r>
    </w:p>
    <w:p w14:paraId="70D884B5" w14:textId="77777777" w:rsidR="00D64A07" w:rsidRPr="00D64A07" w:rsidRDefault="00D64A07" w:rsidP="00D64A07">
      <w:pPr>
        <w:rPr>
          <w:b/>
          <w:bCs/>
        </w:rPr>
      </w:pPr>
    </w:p>
    <w:p w14:paraId="4075649B" w14:textId="7CD1ED1D" w:rsidR="00D64A07" w:rsidRDefault="00D64A07" w:rsidP="00D64A07">
      <w:pPr>
        <w:jc w:val="both"/>
      </w:pPr>
      <w:r w:rsidRPr="00D64A07">
        <w:t>Rydym yn cydnabod y gall cael babi neu fabwysiadu plentyn olygu newidiadau sylweddol ym mywydau personol cydweithwyr ac efallai y bydd angen cymorth ac arweiniad ychwanegol arnynt i addasu i’r rhain. Cofiwch fod gennym Raglen Cymorth i Weithwyr (EAP) a all roi cymorth i gydweithwyr.</w:t>
      </w:r>
    </w:p>
    <w:p w14:paraId="1C82684D" w14:textId="77777777" w:rsidR="00D64A07" w:rsidRPr="00D64A07" w:rsidRDefault="00D64A07" w:rsidP="00D64A07">
      <w:pPr>
        <w:jc w:val="both"/>
      </w:pPr>
    </w:p>
    <w:p w14:paraId="1E514FD6" w14:textId="53DDBE14" w:rsidR="00392EA2" w:rsidRDefault="00D64A07" w:rsidP="00D64A07">
      <w:pPr>
        <w:jc w:val="both"/>
      </w:pPr>
      <w:r w:rsidRPr="00D64A07">
        <w:t>Gwyddom hefyd y gall fod yn heriol cydbwyso cael plentyn newydd â gwaith. Gallai gweithio hyblyg helpu – gallwch ddarllen mwy yn ein polisi Gweithio Hyblyg ar ein gw</w:t>
      </w:r>
      <w:r>
        <w:t>efan.</w:t>
      </w:r>
    </w:p>
    <w:p w14:paraId="645349D4" w14:textId="77777777" w:rsidR="00661665" w:rsidRDefault="00661665" w:rsidP="00661665">
      <w:pPr>
        <w:pStyle w:val="Heading1"/>
      </w:pPr>
    </w:p>
    <w:p w14:paraId="6A44353C" w14:textId="77777777" w:rsidR="000176FA" w:rsidRDefault="00392EA2" w:rsidP="00661665">
      <w:pPr>
        <w:pStyle w:val="Heading1"/>
      </w:pPr>
      <w:bookmarkStart w:id="6" w:name="_Toc508101468"/>
      <w:r>
        <w:t>8</w:t>
      </w:r>
      <w:r w:rsidR="0002136C">
        <w:tab/>
      </w:r>
      <w:r w:rsidR="000176FA">
        <w:t>ADOLYGU POLISI</w:t>
      </w:r>
      <w:bookmarkEnd w:id="6"/>
    </w:p>
    <w:p w14:paraId="55BB3C3A" w14:textId="77777777" w:rsidR="00661665" w:rsidRPr="00661665" w:rsidRDefault="00661665" w:rsidP="00661665">
      <w:pPr>
        <w:pStyle w:val="BodyText"/>
      </w:pPr>
    </w:p>
    <w:p w14:paraId="5223F81D" w14:textId="77777777" w:rsidR="0021744C" w:rsidRPr="007662B6" w:rsidRDefault="0021744C" w:rsidP="0021744C">
      <w:pPr>
        <w:autoSpaceDE w:val="0"/>
        <w:autoSpaceDN w:val="0"/>
        <w:adjustRightInd w:val="0"/>
        <w:spacing w:after="0" w:line="240" w:lineRule="auto"/>
        <w:jc w:val="both"/>
        <w:rPr>
          <w:rFonts w:eastAsiaTheme="minorHAnsi"/>
        </w:rPr>
      </w:pPr>
      <w:r w:rsidRPr="007662B6">
        <w:rPr>
          <w:rFonts w:eastAsiaTheme="minorHAnsi"/>
        </w:rPr>
        <w:t>Bydd y Polisi a’r Weithdrefn hon yn cael eu hadolygu’n rheolaidd o ddim llai na thair blynedd a byddant yn cael eu darllen a’u gweithredu bob amser yn amodol ar y gyfraith gyffredinol. Cynhelir pob adolygiad mewn ymgynghoriad ag Undebau Llafur cydnabyddedig y campws a chytunir ar unrhyw newidiadau gyda nhw, cyn i Gyngor y Brifysgol eu cymeradwyo. Aseswyd effaith y polisi hwn ar gydraddoldeb cyn ei weithredu.</w:t>
      </w:r>
    </w:p>
    <w:p w14:paraId="0B025976" w14:textId="78E3B1AB" w:rsidR="000176FA" w:rsidRDefault="000176FA" w:rsidP="0021744C"/>
    <w:sectPr w:rsidR="00017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D1F21"/>
    <w:multiLevelType w:val="hybridMultilevel"/>
    <w:tmpl w:val="B2FC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4129BC"/>
    <w:multiLevelType w:val="hybridMultilevel"/>
    <w:tmpl w:val="A71C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B36AC"/>
    <w:multiLevelType w:val="hybridMultilevel"/>
    <w:tmpl w:val="2514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6D4331"/>
    <w:multiLevelType w:val="hybridMultilevel"/>
    <w:tmpl w:val="EA4E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3662B6"/>
    <w:multiLevelType w:val="hybridMultilevel"/>
    <w:tmpl w:val="F070785A"/>
    <w:lvl w:ilvl="0" w:tplc="A40858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772156"/>
    <w:multiLevelType w:val="hybridMultilevel"/>
    <w:tmpl w:val="0AFE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3061504">
    <w:abstractNumId w:val="2"/>
  </w:num>
  <w:num w:numId="2" w16cid:durableId="82146533">
    <w:abstractNumId w:val="5"/>
  </w:num>
  <w:num w:numId="3" w16cid:durableId="1249344582">
    <w:abstractNumId w:val="4"/>
  </w:num>
  <w:num w:numId="4" w16cid:durableId="1021131638">
    <w:abstractNumId w:val="1"/>
  </w:num>
  <w:num w:numId="5" w16cid:durableId="686103069">
    <w:abstractNumId w:val="0"/>
  </w:num>
  <w:num w:numId="6" w16cid:durableId="791556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FA"/>
    <w:rsid w:val="000176FA"/>
    <w:rsid w:val="0002136C"/>
    <w:rsid w:val="000B107A"/>
    <w:rsid w:val="000C6707"/>
    <w:rsid w:val="0021744C"/>
    <w:rsid w:val="00223FD6"/>
    <w:rsid w:val="002F1CC4"/>
    <w:rsid w:val="00307ADE"/>
    <w:rsid w:val="00392EA2"/>
    <w:rsid w:val="00403AB5"/>
    <w:rsid w:val="005F627B"/>
    <w:rsid w:val="00661665"/>
    <w:rsid w:val="00687AA4"/>
    <w:rsid w:val="0076773A"/>
    <w:rsid w:val="00914848"/>
    <w:rsid w:val="00D03A86"/>
    <w:rsid w:val="00D54700"/>
    <w:rsid w:val="00D64A07"/>
    <w:rsid w:val="00EE0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7C57"/>
  <w15:chartTrackingRefBased/>
  <w15:docId w15:val="{4B6C2326-8D4B-4884-A1B0-32FE3571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65"/>
    <w:pPr>
      <w:suppressAutoHyphens/>
      <w:spacing w:before="28" w:after="28" w:line="100" w:lineRule="atLeast"/>
    </w:pPr>
    <w:rPr>
      <w:rFonts w:ascii="Arial" w:eastAsia="Times New Roman" w:hAnsi="Arial" w:cs="Arial"/>
      <w:sz w:val="24"/>
      <w:szCs w:val="24"/>
      <w:lang w:val="cy-GB" w:eastAsia="en-GB"/>
    </w:rPr>
  </w:style>
  <w:style w:type="paragraph" w:styleId="Heading1">
    <w:name w:val="heading 1"/>
    <w:basedOn w:val="Normal"/>
    <w:next w:val="BodyText"/>
    <w:link w:val="Heading1Char"/>
    <w:qFormat/>
    <w:rsid w:val="000176FA"/>
    <w:pPr>
      <w:keepNext/>
      <w:spacing w:before="120" w:line="264" w:lineRule="auto"/>
      <w:outlineLvl w:val="0"/>
    </w:pPr>
    <w:rPr>
      <w:b/>
      <w:bCs/>
    </w:rPr>
  </w:style>
  <w:style w:type="paragraph" w:styleId="Heading2">
    <w:name w:val="heading 2"/>
    <w:basedOn w:val="Normal"/>
    <w:next w:val="Normal"/>
    <w:link w:val="Heading2Char"/>
    <w:uiPriority w:val="9"/>
    <w:unhideWhenUsed/>
    <w:qFormat/>
    <w:rsid w:val="000176FA"/>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76FA"/>
    <w:rPr>
      <w:rFonts w:ascii="Arial" w:eastAsia="Times New Roman" w:hAnsi="Arial" w:cs="Times New Roman"/>
      <w:b/>
      <w:bCs/>
      <w:sz w:val="24"/>
      <w:szCs w:val="24"/>
      <w:lang w:val="cy-GB"/>
    </w:rPr>
  </w:style>
  <w:style w:type="paragraph" w:styleId="BodyText">
    <w:name w:val="Body Text"/>
    <w:basedOn w:val="Normal"/>
    <w:link w:val="BodyTextChar"/>
    <w:rsid w:val="000176FA"/>
  </w:style>
  <w:style w:type="character" w:customStyle="1" w:styleId="BodyTextChar">
    <w:name w:val="Body Text Char"/>
    <w:basedOn w:val="DefaultParagraphFont"/>
    <w:link w:val="BodyText"/>
    <w:rsid w:val="000176FA"/>
    <w:rPr>
      <w:rFonts w:ascii="Verdana" w:eastAsia="Times New Roman" w:hAnsi="Verdana" w:cs="Times New Roman"/>
      <w:sz w:val="21"/>
      <w:szCs w:val="24"/>
      <w:lang w:val="cy-GB"/>
    </w:rPr>
  </w:style>
  <w:style w:type="character" w:customStyle="1" w:styleId="Heading2Char">
    <w:name w:val="Heading 2 Char"/>
    <w:basedOn w:val="DefaultParagraphFont"/>
    <w:link w:val="Heading2"/>
    <w:uiPriority w:val="9"/>
    <w:rsid w:val="000176FA"/>
    <w:rPr>
      <w:rFonts w:ascii="Arial" w:eastAsiaTheme="majorEastAsia" w:hAnsi="Arial" w:cstheme="majorBidi"/>
      <w:sz w:val="24"/>
      <w:szCs w:val="26"/>
      <w:lang w:val="cy-GB"/>
    </w:rPr>
  </w:style>
  <w:style w:type="paragraph" w:styleId="TOCHeading">
    <w:name w:val="TOC Heading"/>
    <w:basedOn w:val="Heading1"/>
    <w:next w:val="Normal"/>
    <w:uiPriority w:val="39"/>
    <w:unhideWhenUsed/>
    <w:qFormat/>
    <w:rsid w:val="000176FA"/>
    <w:pPr>
      <w:keepLines/>
      <w:spacing w:before="240" w:after="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0176FA"/>
  </w:style>
  <w:style w:type="character" w:styleId="Hyperlink">
    <w:name w:val="Hyperlink"/>
    <w:basedOn w:val="DefaultParagraphFont"/>
    <w:uiPriority w:val="99"/>
    <w:unhideWhenUsed/>
    <w:rsid w:val="000176FA"/>
    <w:rPr>
      <w:color w:val="0563C1" w:themeColor="hyperlink"/>
      <w:u w:val="single"/>
    </w:rPr>
  </w:style>
  <w:style w:type="paragraph" w:styleId="ListParagraph">
    <w:name w:val="List Paragraph"/>
    <w:basedOn w:val="Normal"/>
    <w:uiPriority w:val="34"/>
    <w:qFormat/>
    <w:rsid w:val="000176FA"/>
    <w:pPr>
      <w:ind w:left="720"/>
      <w:contextualSpacing/>
    </w:pPr>
  </w:style>
  <w:style w:type="paragraph" w:styleId="TOC2">
    <w:name w:val="toc 2"/>
    <w:basedOn w:val="Normal"/>
    <w:next w:val="Normal"/>
    <w:autoRedefine/>
    <w:uiPriority w:val="39"/>
    <w:unhideWhenUsed/>
    <w:rsid w:val="000176FA"/>
    <w:pPr>
      <w:ind w:left="210"/>
    </w:pPr>
  </w:style>
  <w:style w:type="paragraph" w:styleId="NormalWeb">
    <w:name w:val="Normal (Web)"/>
    <w:basedOn w:val="Normal"/>
    <w:rsid w:val="00403AB5"/>
    <w:rPr>
      <w:rFonts w:ascii="Times New Roman" w:hAnsi="Times New Roman"/>
      <w:lang w:val="en-GB"/>
    </w:rPr>
  </w:style>
  <w:style w:type="paragraph" w:styleId="HTMLPreformatted">
    <w:name w:val="HTML Preformatted"/>
    <w:basedOn w:val="Normal"/>
    <w:link w:val="HTMLPreformattedChar"/>
    <w:uiPriority w:val="99"/>
    <w:semiHidden/>
    <w:unhideWhenUsed/>
    <w:rsid w:val="00D64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semiHidden/>
    <w:rsid w:val="00D64A07"/>
    <w:rPr>
      <w:rFonts w:ascii="Courier New" w:eastAsia="Times New Roman" w:hAnsi="Courier New" w:cs="Courier New"/>
      <w:sz w:val="20"/>
      <w:szCs w:val="20"/>
      <w:lang w:eastAsia="en-GB"/>
    </w:rPr>
  </w:style>
  <w:style w:type="character" w:customStyle="1" w:styleId="y2iqfc">
    <w:name w:val="y2iqfc"/>
    <w:basedOn w:val="DefaultParagraphFont"/>
    <w:rsid w:val="00D64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82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A4DD8-99BF-4D81-BAF9-AF50E9836CA4}">
  <ds:schemaRefs>
    <ds:schemaRef ds:uri="http://schemas.microsoft.com/sharepoint/v3/contenttype/forms"/>
  </ds:schemaRefs>
</ds:datastoreItem>
</file>

<file path=customXml/itemProps2.xml><?xml version="1.0" encoding="utf-8"?>
<ds:datastoreItem xmlns:ds="http://schemas.openxmlformats.org/officeDocument/2006/customXml" ds:itemID="{81E9A474-FB80-4A84-9457-BC6F24100642}">
  <ds:schemaRefs>
    <ds:schemaRef ds:uri="http://schemas.microsoft.com/office/2006/metadata/properties"/>
    <ds:schemaRef ds:uri="http://schemas.microsoft.com/office/infopath/2007/PartnerControls"/>
    <ds:schemaRef ds:uri="fe002713-cdad-4d1d-967c-86e69fbc62ee"/>
    <ds:schemaRef ds:uri="f4ca094e-e3ed-44b2-8be1-04578b8f4789"/>
  </ds:schemaRefs>
</ds:datastoreItem>
</file>

<file path=customXml/itemProps3.xml><?xml version="1.0" encoding="utf-8"?>
<ds:datastoreItem xmlns:ds="http://schemas.openxmlformats.org/officeDocument/2006/customXml" ds:itemID="{88594329-0191-4AB2-8B80-512FD960816E}">
  <ds:schemaRefs>
    <ds:schemaRef ds:uri="http://schemas.openxmlformats.org/officeDocument/2006/bibliography"/>
  </ds:schemaRefs>
</ds:datastoreItem>
</file>

<file path=customXml/itemProps4.xml><?xml version="1.0" encoding="utf-8"?>
<ds:datastoreItem xmlns:ds="http://schemas.openxmlformats.org/officeDocument/2006/customXml" ds:itemID="{D0BF42D2-29B5-45E6-BA51-AECE37257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Luke</dc:creator>
  <cp:keywords/>
  <dc:description/>
  <cp:lastModifiedBy>Matt Coles (Staff)</cp:lastModifiedBy>
  <cp:revision>3</cp:revision>
  <cp:lastPrinted>2021-02-02T13:01:00Z</cp:lastPrinted>
  <dcterms:created xsi:type="dcterms:W3CDTF">2024-02-09T13:57:00Z</dcterms:created>
  <dcterms:modified xsi:type="dcterms:W3CDTF">2024-02-09T13:58:00Z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ies>
</file>